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highlight w:val="white"/>
          <w:rtl w:val="0"/>
        </w:rPr>
        <w:t xml:space="preserve">Hopewell District of the Student Council's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highlight w:val="white"/>
          <w:rtl w:val="0"/>
        </w:rPr>
        <w:t xml:space="preserve">Executive Board Meeting</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Eureka, IL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September 24,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I.Call to Order</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called the meeting to order at 6:48 p.m.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 Roll Call</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members were present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III.Officer Reports</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said that she received an email from Putnam County High School stating that they would like to get more involved in the Hopewell District. This was fantastic news and we are more than happy to let them get involved.</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First Vice President Maddie Plattner stated that she sent the applications for Fall Convention.</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Second Vice President Eli Sanchez stated that he made the new Council Connection.</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Recording Secretary Makenzie Rendleman gave everyone a copy of the Secretary’s Report. The report was then read over and it was asked that a motion be made to accept the Secretary’s Report as read. Natalie Gladson, moved to make a motion to accept the Secretary’s Report as read. Katy Brewer, seconded the motion.</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Treasurer Katy Brewer read the Treasurer’s Report and also stated that we reimbursed Ken Hendrickson what we owed him.</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stated that we have our keynote speaker for Fall Convention. Our keynote speaker will be Ted Wiese.   Easter Seales or Habitat for Humanity will be our backup speakers.</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Natalie Gladson stated that everything was up on the website.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IV.Old Business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Everything for the fall mailing got sent out on time.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 New Business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decided that the Honor Delegate Meeting will only occur if there is a good response to the applications.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decided that the meetings at Fall Convention are as followed: Constitution Committee, Credentials Committee, and an Honor Council Book Meeting will occur.</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our Community Service project, each school will get an organization and it will be displayed at Fall Convention for all to see.</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Our next meeting date will be October 15, 2014 in Tremont, IL.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VI. Advisor Comments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A.Mrs. Wicks said that we need to get more speakers than just Ted Wiese. She also said that at Spring Convention we need to make it more enjoyable. We could do it as Homecoming Games competitiveness. Each school could get really into it and it would create a buzz and maybe get more schools involved.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B. Mrs. Wicks, also suggested that we use a hashtag at Fall and Spring Convention to get the kids into the experience of the Convention. </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Mrs. Wicks, asked what snack we should have at Fall Convention. It was decided that we would have a healthy, but enjoyable snack at Fall Convention.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5760" w:firstLine="720"/>
        <w:contextualSpacing w:val="0"/>
        <w:jc w:val="left"/>
      </w:pPr>
      <w:r w:rsidRPr="00000000" w:rsidR="00000000" w:rsidDel="00000000">
        <w:rPr>
          <w:rFonts w:cs="Times New Roman" w:hAnsi="Times New Roman" w:eastAsia="Times New Roman" w:ascii="Times New Roman"/>
          <w:rtl w:val="0"/>
        </w:rPr>
        <w:t xml:space="preserve">Respectfully Submitted By:</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ab/>
        <w:tab/>
        <w:tab/>
        <w:tab/>
        <w:tab/>
        <w:tab/>
        <w:tab/>
        <w:t xml:space="preserve">            Makenzie Rendleman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ab/>
        <w:tab/>
        <w:tab/>
        <w:tab/>
        <w:tab/>
        <w:t xml:space="preserve">                                      Recording Secretary 2014-2015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24th Minutes.docx</dc:title>
</cp:coreProperties>
</file>